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5B6" w:rsidRPr="00C765B6" w:rsidRDefault="00C765B6" w:rsidP="00C765B6">
      <w:pPr>
        <w:widowControl w:val="0"/>
        <w:autoSpaceDE w:val="0"/>
        <w:autoSpaceDN w:val="0"/>
        <w:spacing w:before="64" w:after="0" w:line="235" w:lineRule="auto"/>
        <w:ind w:left="651" w:right="260" w:firstLine="13"/>
        <w:jc w:val="center"/>
        <w:rPr>
          <w:rFonts w:ascii="Times New Roman" w:eastAsia="Times New Roman" w:hAnsi="Times New Roman" w:cs="Times New Roman"/>
          <w:sz w:val="28"/>
        </w:rPr>
      </w:pPr>
      <w:r w:rsidRPr="00C765B6">
        <w:rPr>
          <w:rFonts w:ascii="Times New Roman" w:eastAsia="Times New Roman" w:hAnsi="Times New Roman" w:cs="Times New Roman"/>
          <w:b/>
          <w:sz w:val="28"/>
        </w:rPr>
        <w:t>Обґрунтування технічних та якісних характеристик предмета закупівлі,</w:t>
      </w:r>
      <w:r w:rsidRPr="00C765B6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b/>
          <w:sz w:val="28"/>
        </w:rPr>
        <w:t>розміру</w:t>
      </w:r>
      <w:r w:rsidRPr="00C765B6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b/>
          <w:sz w:val="28"/>
        </w:rPr>
        <w:t>бюджетного</w:t>
      </w:r>
      <w:r w:rsidRPr="00C765B6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b/>
          <w:sz w:val="28"/>
        </w:rPr>
        <w:t>призначення,</w:t>
      </w:r>
      <w:r w:rsidRPr="00C765B6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b/>
          <w:sz w:val="28"/>
        </w:rPr>
        <w:t>очікуваної</w:t>
      </w:r>
      <w:r w:rsidRPr="00C765B6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b/>
          <w:sz w:val="28"/>
        </w:rPr>
        <w:t>вартості</w:t>
      </w:r>
      <w:r w:rsidRPr="00C765B6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b/>
          <w:sz w:val="28"/>
        </w:rPr>
        <w:t>предмета</w:t>
      </w:r>
      <w:r w:rsidRPr="00C765B6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b/>
          <w:sz w:val="28"/>
        </w:rPr>
        <w:t>закупівлі</w:t>
      </w:r>
      <w:r w:rsidRPr="00C765B6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w w:val="95"/>
          <w:sz w:val="28"/>
        </w:rPr>
        <w:t>(відповідно</w:t>
      </w:r>
      <w:r w:rsidRPr="00C765B6">
        <w:rPr>
          <w:rFonts w:ascii="Times New Roman" w:eastAsia="Times New Roman" w:hAnsi="Times New Roman" w:cs="Times New Roman"/>
          <w:spacing w:val="46"/>
          <w:w w:val="95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w w:val="95"/>
          <w:sz w:val="28"/>
        </w:rPr>
        <w:t>до</w:t>
      </w:r>
      <w:r w:rsidRPr="00C765B6">
        <w:rPr>
          <w:rFonts w:ascii="Times New Roman" w:eastAsia="Times New Roman" w:hAnsi="Times New Roman" w:cs="Times New Roman"/>
          <w:spacing w:val="46"/>
          <w:w w:val="95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w w:val="95"/>
          <w:sz w:val="28"/>
        </w:rPr>
        <w:t>пункту</w:t>
      </w:r>
      <w:r w:rsidRPr="00C765B6">
        <w:rPr>
          <w:rFonts w:ascii="Times New Roman" w:eastAsia="Times New Roman" w:hAnsi="Times New Roman" w:cs="Times New Roman"/>
          <w:spacing w:val="40"/>
          <w:w w:val="95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w w:val="95"/>
          <w:sz w:val="28"/>
        </w:rPr>
        <w:t>4</w:t>
      </w:r>
      <w:r w:rsidRPr="00C765B6">
        <w:rPr>
          <w:rFonts w:ascii="Times New Roman" w:eastAsia="Times New Roman" w:hAnsi="Times New Roman" w:cs="Times New Roman"/>
          <w:w w:val="95"/>
          <w:sz w:val="28"/>
          <w:vertAlign w:val="superscript"/>
        </w:rPr>
        <w:t>1</w:t>
      </w:r>
      <w:r w:rsidRPr="00C765B6">
        <w:rPr>
          <w:rFonts w:ascii="Times New Roman" w:eastAsia="Times New Roman" w:hAnsi="Times New Roman" w:cs="Times New Roman"/>
          <w:spacing w:val="10"/>
          <w:w w:val="95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w w:val="95"/>
          <w:sz w:val="28"/>
        </w:rPr>
        <w:t>постанови</w:t>
      </w:r>
      <w:r w:rsidRPr="00C765B6">
        <w:rPr>
          <w:rFonts w:ascii="Times New Roman" w:eastAsia="Times New Roman" w:hAnsi="Times New Roman" w:cs="Times New Roman"/>
          <w:spacing w:val="46"/>
          <w:w w:val="95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w w:val="95"/>
          <w:sz w:val="28"/>
        </w:rPr>
        <w:t>Кабінету</w:t>
      </w:r>
      <w:r w:rsidRPr="00C765B6">
        <w:rPr>
          <w:rFonts w:ascii="Times New Roman" w:eastAsia="Times New Roman" w:hAnsi="Times New Roman" w:cs="Times New Roman"/>
          <w:spacing w:val="40"/>
          <w:w w:val="95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w w:val="95"/>
          <w:sz w:val="28"/>
        </w:rPr>
        <w:t>Міністрів</w:t>
      </w:r>
      <w:r w:rsidRPr="00C765B6">
        <w:rPr>
          <w:rFonts w:ascii="Times New Roman" w:eastAsia="Times New Roman" w:hAnsi="Times New Roman" w:cs="Times New Roman"/>
          <w:spacing w:val="43"/>
          <w:w w:val="95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w w:val="95"/>
          <w:sz w:val="28"/>
        </w:rPr>
        <w:t>України</w:t>
      </w:r>
      <w:r w:rsidRPr="00C765B6">
        <w:rPr>
          <w:rFonts w:ascii="Times New Roman" w:eastAsia="Times New Roman" w:hAnsi="Times New Roman" w:cs="Times New Roman"/>
          <w:spacing w:val="55"/>
          <w:w w:val="95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w w:val="95"/>
          <w:sz w:val="28"/>
        </w:rPr>
        <w:t>від</w:t>
      </w:r>
      <w:r w:rsidRPr="00C765B6">
        <w:rPr>
          <w:rFonts w:ascii="Times New Roman" w:eastAsia="Times New Roman" w:hAnsi="Times New Roman" w:cs="Times New Roman"/>
          <w:spacing w:val="49"/>
          <w:w w:val="95"/>
          <w:sz w:val="28"/>
        </w:rPr>
        <w:t xml:space="preserve"> </w:t>
      </w:r>
      <w:r w:rsidRPr="00C765B6">
        <w:rPr>
          <w:rFonts w:ascii="Times New Roman" w:eastAsia="Times New Roman" w:hAnsi="Times New Roman" w:cs="Times New Roman"/>
          <w:w w:val="95"/>
          <w:sz w:val="28"/>
        </w:rPr>
        <w:t>11.10.2016</w:t>
      </w:r>
    </w:p>
    <w:p w:rsidR="00C765B6" w:rsidRDefault="00C765B6" w:rsidP="00C765B6">
      <w:pPr>
        <w:widowControl w:val="0"/>
        <w:autoSpaceDE w:val="0"/>
        <w:autoSpaceDN w:val="0"/>
        <w:spacing w:before="1" w:after="0" w:line="240" w:lineRule="auto"/>
        <w:ind w:left="1856" w:right="14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65B6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C765B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765B6">
        <w:rPr>
          <w:rFonts w:ascii="Times New Roman" w:eastAsia="Times New Roman" w:hAnsi="Times New Roman" w:cs="Times New Roman"/>
          <w:sz w:val="28"/>
          <w:szCs w:val="28"/>
        </w:rPr>
        <w:t>710</w:t>
      </w:r>
      <w:r w:rsidRPr="00C765B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765B6">
        <w:rPr>
          <w:rFonts w:ascii="Times New Roman" w:eastAsia="Times New Roman" w:hAnsi="Times New Roman" w:cs="Times New Roman"/>
          <w:sz w:val="28"/>
          <w:szCs w:val="28"/>
        </w:rPr>
        <w:t>«Про</w:t>
      </w:r>
      <w:r w:rsidRPr="00C765B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765B6">
        <w:rPr>
          <w:rFonts w:ascii="Times New Roman" w:eastAsia="Times New Roman" w:hAnsi="Times New Roman" w:cs="Times New Roman"/>
          <w:sz w:val="28"/>
          <w:szCs w:val="28"/>
        </w:rPr>
        <w:t>ефективне</w:t>
      </w:r>
      <w:r w:rsidRPr="00C765B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765B6"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r w:rsidRPr="00C765B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765B6">
        <w:rPr>
          <w:rFonts w:ascii="Times New Roman" w:eastAsia="Times New Roman" w:hAnsi="Times New Roman" w:cs="Times New Roman"/>
          <w:sz w:val="28"/>
          <w:szCs w:val="28"/>
        </w:rPr>
        <w:t>державних</w:t>
      </w:r>
      <w:r w:rsidRPr="00C765B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765B6">
        <w:rPr>
          <w:rFonts w:ascii="Times New Roman" w:eastAsia="Times New Roman" w:hAnsi="Times New Roman" w:cs="Times New Roman"/>
          <w:sz w:val="28"/>
          <w:szCs w:val="28"/>
        </w:rPr>
        <w:t>коштів»)</w:t>
      </w:r>
    </w:p>
    <w:p w:rsidR="00E00A62" w:rsidRPr="00C765B6" w:rsidRDefault="00E00A62" w:rsidP="00C765B6">
      <w:pPr>
        <w:widowControl w:val="0"/>
        <w:autoSpaceDE w:val="0"/>
        <w:autoSpaceDN w:val="0"/>
        <w:spacing w:before="1" w:after="0" w:line="240" w:lineRule="auto"/>
        <w:ind w:left="1856" w:right="145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10371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2555"/>
        <w:gridCol w:w="7389"/>
      </w:tblGrid>
      <w:tr w:rsidR="00C765B6" w:rsidRPr="00C765B6" w:rsidTr="00A90BC2">
        <w:trPr>
          <w:trHeight w:val="1169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5B6" w:rsidRPr="00C765B6" w:rsidRDefault="00C765B6" w:rsidP="00C765B6">
            <w:pPr>
              <w:spacing w:line="310" w:lineRule="exact"/>
              <w:ind w:left="1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5B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5B6" w:rsidRPr="00604BCA" w:rsidRDefault="00C765B6" w:rsidP="00C765B6">
            <w:pPr>
              <w:spacing w:line="268" w:lineRule="auto"/>
              <w:ind w:left="11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604BCA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val="uk-UA"/>
              </w:rPr>
              <w:t xml:space="preserve">Назва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предмета</w:t>
            </w:r>
            <w:r w:rsidRPr="00604BCA">
              <w:rPr>
                <w:rFonts w:ascii="Times New Roman" w:eastAsia="Times New Roman" w:hAnsi="Times New Roman"/>
                <w:b/>
                <w:spacing w:val="-68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закупівлі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A62" w:rsidRPr="00604BCA" w:rsidRDefault="00BA7EB1" w:rsidP="00A90BC2">
            <w:pPr>
              <w:ind w:right="284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BA7EB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ДК</w:t>
            </w:r>
            <w:proofErr w:type="spellEnd"/>
            <w:r w:rsidRPr="00BA7EB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021:2015 - </w:t>
            </w:r>
            <w:r w:rsidR="00704D43" w:rsidRPr="00704D4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72260000-5 Послуги, пов’язані з програмним забезпеченням (</w:t>
            </w:r>
            <w:r w:rsidR="00704D43" w:rsidRPr="00704D4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 w:bidi="uk-UA"/>
              </w:rPr>
              <w:t xml:space="preserve">Послуги з постачання програмного забезпечення лабораторної інформаційної системи </w:t>
            </w:r>
            <w:r w:rsidR="00704D43" w:rsidRPr="00704D43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val="uk-UA" w:eastAsia="uk-UA" w:bidi="uk-UA"/>
              </w:rPr>
              <w:t>для клініко-діагностичної лабораторії</w:t>
            </w:r>
            <w:r w:rsidR="00704D43" w:rsidRPr="00704D4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 w:bidi="uk-UA"/>
              </w:rPr>
              <w:t xml:space="preserve"> та консультаційні послуги по функціонуванню програмного забезпечення</w:t>
            </w:r>
            <w:r w:rsidR="00704D43" w:rsidRPr="00704D4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)</w:t>
            </w:r>
          </w:p>
        </w:tc>
      </w:tr>
      <w:tr w:rsidR="00C765B6" w:rsidRPr="00C765B6" w:rsidTr="00A90BC2">
        <w:trPr>
          <w:trHeight w:val="352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5B6" w:rsidRPr="00C765B6" w:rsidRDefault="00C765B6" w:rsidP="00C765B6">
            <w:pPr>
              <w:spacing w:line="310" w:lineRule="exact"/>
              <w:ind w:left="1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5B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5B6" w:rsidRPr="00604BCA" w:rsidRDefault="00C765B6" w:rsidP="00C765B6">
            <w:pPr>
              <w:spacing w:line="315" w:lineRule="exact"/>
              <w:ind w:left="11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Вид</w:t>
            </w:r>
            <w:r w:rsidRPr="00604BCA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процедури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5B6" w:rsidRPr="00604BCA" w:rsidRDefault="00C765B6" w:rsidP="00A03568">
            <w:pPr>
              <w:spacing w:line="310" w:lineRule="exact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604BC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Відкриті</w:t>
            </w:r>
            <w:r w:rsidRPr="00604BCA">
              <w:rPr>
                <w:rFonts w:ascii="Times New Roman" w:eastAsia="Times New Roman" w:hAnsi="Times New Roman"/>
                <w:spacing w:val="-7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торги з особливостями</w:t>
            </w:r>
          </w:p>
        </w:tc>
      </w:tr>
      <w:tr w:rsidR="00C765B6" w:rsidRPr="00C765B6" w:rsidTr="00A90BC2">
        <w:trPr>
          <w:trHeight w:val="468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5B6" w:rsidRPr="00C765B6" w:rsidRDefault="00C765B6" w:rsidP="00C765B6">
            <w:pPr>
              <w:spacing w:line="315" w:lineRule="exact"/>
              <w:ind w:left="1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5B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5B6" w:rsidRPr="00604BCA" w:rsidRDefault="00C765B6" w:rsidP="00C765B6">
            <w:pPr>
              <w:spacing w:before="2" w:line="276" w:lineRule="auto"/>
              <w:ind w:left="11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604BCA">
              <w:rPr>
                <w:rFonts w:ascii="Times New Roman" w:eastAsia="Times New Roman" w:hAnsi="Times New Roman"/>
                <w:b/>
                <w:w w:val="95"/>
                <w:sz w:val="24"/>
                <w:szCs w:val="24"/>
                <w:lang w:val="uk-UA"/>
              </w:rPr>
              <w:t>Ідентифікатор</w:t>
            </w:r>
            <w:r w:rsidRPr="00604BCA">
              <w:rPr>
                <w:rFonts w:ascii="Times New Roman" w:eastAsia="Times New Roman" w:hAnsi="Times New Roman"/>
                <w:b/>
                <w:spacing w:val="1"/>
                <w:w w:val="95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закупівлі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5B6" w:rsidRPr="002C2675" w:rsidRDefault="00C765B6" w:rsidP="00C765B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E00A62" w:rsidRPr="002C2675" w:rsidRDefault="00704D43" w:rsidP="00050233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04D4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UA-2023-11-28-002404-a</w:t>
            </w:r>
          </w:p>
        </w:tc>
      </w:tr>
      <w:tr w:rsidR="00C765B6" w:rsidRPr="00C765B6" w:rsidTr="000A446A">
        <w:trPr>
          <w:trHeight w:val="523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5B6" w:rsidRPr="00C765B6" w:rsidRDefault="00C765B6" w:rsidP="00C765B6">
            <w:pPr>
              <w:spacing w:line="310" w:lineRule="exact"/>
              <w:ind w:left="1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5B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5B6" w:rsidRPr="00604BCA" w:rsidRDefault="00C765B6" w:rsidP="00C765B6">
            <w:pPr>
              <w:spacing w:line="276" w:lineRule="auto"/>
              <w:ind w:left="11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604BCA">
              <w:rPr>
                <w:rFonts w:ascii="Times New Roman" w:eastAsia="Times New Roman" w:hAnsi="Times New Roman"/>
                <w:b/>
                <w:w w:val="95"/>
                <w:sz w:val="24"/>
                <w:szCs w:val="24"/>
                <w:lang w:val="uk-UA"/>
              </w:rPr>
              <w:t>Обґрунтування</w:t>
            </w:r>
            <w:r w:rsidRPr="00604BCA">
              <w:rPr>
                <w:rFonts w:ascii="Times New Roman" w:eastAsia="Times New Roman" w:hAnsi="Times New Roman"/>
                <w:b/>
                <w:spacing w:val="1"/>
                <w:w w:val="95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технічних та</w:t>
            </w:r>
            <w:r w:rsidRPr="00604BCA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якісних</w:t>
            </w:r>
            <w:r w:rsidRPr="00604BCA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характеристик</w:t>
            </w:r>
            <w:r w:rsidRPr="00604BCA">
              <w:rPr>
                <w:rFonts w:ascii="Times New Roman" w:eastAsia="Times New Roman" w:hAnsi="Times New Roman"/>
                <w:b/>
                <w:spacing w:val="-67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предмета</w:t>
            </w:r>
            <w:r w:rsidRPr="00604BCA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закупівлі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4C0" w:rsidRDefault="0069198A" w:rsidP="0069198A">
            <w:pPr>
              <w:ind w:right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E743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КНП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«</w:t>
            </w:r>
            <w:proofErr w:type="spellStart"/>
            <w:r w:rsidRPr="009E743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КДЦ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Оболонського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району м. Києва</w:t>
            </w:r>
            <w:r w:rsidRPr="0069198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здійснює медичне обслуговування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9198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населення шляхом надання </w:t>
            </w:r>
            <w:r w:rsidR="005F1AA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вторинної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9198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медичної допомоги населенню.</w:t>
            </w:r>
            <w:r w:rsidR="000D34C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AC0F05" w:rsidRDefault="00AC0F05" w:rsidP="00AC0F05">
            <w:pPr>
              <w:ind w:right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E30BD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 метою надання необхідної медичної допомоги населенню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30BD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необхідно здійснити закупівлю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30BD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послуг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з </w:t>
            </w:r>
            <w:r w:rsidRPr="00AC0F0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надання права на використання програмного забезпечення </w:t>
            </w:r>
            <w:proofErr w:type="spellStart"/>
            <w:r w:rsidRPr="00AC0F0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КП</w:t>
            </w:r>
            <w:proofErr w:type="spellEnd"/>
            <w:r w:rsidRPr="00AC0F0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C0F0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TerraLab</w:t>
            </w:r>
            <w:proofErr w:type="spellEnd"/>
            <w:r w:rsidRPr="00AC0F0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на 1</w:t>
            </w:r>
            <w:r w:rsidR="000A44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5</w:t>
            </w:r>
            <w:r w:rsidRPr="00AC0F0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одночасних підключень до бази даних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та</w:t>
            </w:r>
            <w:r w:rsidRPr="00AC0F0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надання права на використання програмного забезпечення </w:t>
            </w:r>
            <w:proofErr w:type="spellStart"/>
            <w:r w:rsidRPr="00AC0F0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КП</w:t>
            </w:r>
            <w:proofErr w:type="spellEnd"/>
            <w:r w:rsidRPr="00AC0F0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C0F0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Analyzer</w:t>
            </w:r>
            <w:proofErr w:type="spellEnd"/>
            <w:r w:rsidRPr="00AC0F0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C0F0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Manager</w:t>
            </w:r>
            <w:proofErr w:type="spellEnd"/>
            <w:r w:rsidRPr="00AC0F0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для підключення 8 приладів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 202</w:t>
            </w:r>
            <w:r w:rsidR="00B1599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рік.</w:t>
            </w:r>
          </w:p>
          <w:p w:rsidR="000A446A" w:rsidRDefault="000A446A" w:rsidP="00346310">
            <w:pPr>
              <w:ind w:right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A44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Для оптимізації та автоматизації  лабораторних процесів на усіх етапах (</w:t>
            </w:r>
            <w:proofErr w:type="spellStart"/>
            <w:r w:rsidRPr="000A44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преаналітичному</w:t>
            </w:r>
            <w:proofErr w:type="spellEnd"/>
            <w:r w:rsidRPr="000A44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, аналітичному та </w:t>
            </w:r>
            <w:proofErr w:type="spellStart"/>
            <w:r w:rsidRPr="000A44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постаналітичному</w:t>
            </w:r>
            <w:proofErr w:type="spellEnd"/>
            <w:r w:rsidRPr="000A44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) використовують спеціалізовані Лабораторні Інформаційні Управлінські Системи. Окрім цього, такі системи значно спрощують управління лабораторною службою (</w:t>
            </w:r>
            <w:proofErr w:type="spellStart"/>
            <w:r w:rsidRPr="000A44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внутрішньолабораторний</w:t>
            </w:r>
            <w:proofErr w:type="spellEnd"/>
            <w:r w:rsidRPr="000A44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контроль якості, матеріальний облік, господарська служба, фінансова і управлінська звітність, управління ресурсами). Впровадження лабораторної інформаційної системи  в лабораторії КНП «</w:t>
            </w:r>
            <w:proofErr w:type="spellStart"/>
            <w:r w:rsidRPr="000A44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КДЦ</w:t>
            </w:r>
            <w:proofErr w:type="spellEnd"/>
            <w:r w:rsidRPr="000A44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»  дозволило підвищити якість, доступність і своєчасність лабораторних досліджень, підвищенню пропускної спроможності лабораторій по   виконанню   аналізів,   зниженню   ризиків   помилок   через   людський чинник, оптимізацію використання ресурсів і формування лабораторної документації.</w:t>
            </w:r>
          </w:p>
          <w:p w:rsidR="00E00A62" w:rsidRDefault="000D351A" w:rsidP="00346310">
            <w:pPr>
              <w:ind w:right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</w:t>
            </w:r>
            <w:r w:rsidRPr="00DA2C4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ехнічн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</w:t>
            </w:r>
            <w:r w:rsidRPr="00DA2C4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та якісн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</w:t>
            </w:r>
            <w:r w:rsidRPr="00DA2C4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характеристик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и</w:t>
            </w:r>
            <w:r w:rsidRPr="00DA2C4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предмета закупівлі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визначаються з</w:t>
            </w:r>
            <w:r w:rsidRPr="00E30BD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урахуванням регламентів, методики та сучасних вимог до надання медичної допомоги.</w:t>
            </w:r>
          </w:p>
          <w:p w:rsidR="000D351A" w:rsidRDefault="00A90BC2" w:rsidP="00EB6E08">
            <w:pPr>
              <w:ind w:right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90BC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Призначен</w:t>
            </w:r>
            <w:r w:rsidR="00EB6E0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ня програмного забезпечення ЛІС:</w:t>
            </w:r>
            <w:r w:rsidRPr="00A90BC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оптимізація усіх основних внутрішньо-лабораторних процесів, автоматизація процесів пов’язаних з організацією функціонування клініко-діагностичної лабораторії, а також процеси менеджменту якості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; п</w:t>
            </w:r>
            <w:r w:rsidRPr="00A90BC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ідвищення якості, доступності та своєчасності лабораторної діагностики, автоматизація формування лабораторної документації та оптимізація використання ресурсів закладу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; забезпечення </w:t>
            </w:r>
            <w:r w:rsidRPr="00A90BC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маркування </w:t>
            </w:r>
            <w:proofErr w:type="spellStart"/>
            <w:r w:rsidRPr="00A90BC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біоматеріалу</w:t>
            </w:r>
            <w:proofErr w:type="spellEnd"/>
            <w:r w:rsidRPr="00A90BC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у відповідності до стандарту ДСТУ ISO 15189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A90BC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ЛІС повинна відповідати вимогам ДСТУ ISO 25051 та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бути </w:t>
            </w:r>
            <w:r w:rsidRPr="00A90BC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відповідно сертифікована.</w:t>
            </w:r>
          </w:p>
          <w:p w:rsidR="000A446A" w:rsidRPr="000A446A" w:rsidRDefault="000A446A" w:rsidP="000A446A">
            <w:pPr>
              <w:ind w:right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A44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Система повинна допомагати налаштувати лабораторні процеси та організувати роботу лабораторної служби у відповідності з ISO 15189. Надавати послуги ЛІС можуть тільки виробники цього програмного забезпечення, власники авторських прав, або уповноважені партнери. Учасник у складі пропозиції повинен надати Замовнику підтвердження патентної чистоти ЛІС, що є </w:t>
            </w:r>
            <w:r w:rsidRPr="000A44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 xml:space="preserve">предметом закупівлі, у вигляді </w:t>
            </w:r>
            <w:proofErr w:type="spellStart"/>
            <w:r w:rsidRPr="000A44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скан</w:t>
            </w:r>
            <w:proofErr w:type="spellEnd"/>
            <w:r w:rsidRPr="000A44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копії(й) </w:t>
            </w:r>
            <w:proofErr w:type="spellStart"/>
            <w:r w:rsidRPr="000A44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оргигіналу</w:t>
            </w:r>
            <w:proofErr w:type="spellEnd"/>
            <w:r w:rsidRPr="000A44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свідоцтва(в) про реєстрацію авторських прав; </w:t>
            </w:r>
            <w:proofErr w:type="spellStart"/>
            <w:r w:rsidRPr="000A44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скан-копію</w:t>
            </w:r>
            <w:proofErr w:type="spellEnd"/>
            <w:r w:rsidRPr="000A44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(ї) оригіналів документу(</w:t>
            </w:r>
            <w:proofErr w:type="spellStart"/>
            <w:r w:rsidRPr="000A44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ів</w:t>
            </w:r>
            <w:proofErr w:type="spellEnd"/>
            <w:r w:rsidRPr="000A44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), підтверджуючого(</w:t>
            </w:r>
            <w:proofErr w:type="spellStart"/>
            <w:r w:rsidRPr="000A44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их</w:t>
            </w:r>
            <w:proofErr w:type="spellEnd"/>
            <w:r w:rsidRPr="000A44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) право здійснювати діяльність з постачання та впровадження програмного забезпечення. Замовник здійснює закупівлю послуг щодо програмного забезпечення ліцензій LIMS </w:t>
            </w:r>
            <w:proofErr w:type="spellStart"/>
            <w:r w:rsidRPr="000A44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TerraLab</w:t>
            </w:r>
            <w:proofErr w:type="spellEnd"/>
            <w:r w:rsidRPr="000A44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0A44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Analyzer</w:t>
            </w:r>
            <w:proofErr w:type="spellEnd"/>
            <w:r w:rsidRPr="000A44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A44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Manager</w:t>
            </w:r>
            <w:proofErr w:type="spellEnd"/>
            <w:r w:rsidRPr="000A44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, як продовження (поновлення) до вже існуючої, раніше придбаної комп'ютерної програми LIMS </w:t>
            </w:r>
            <w:proofErr w:type="spellStart"/>
            <w:r w:rsidRPr="000A44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TerraLab</w:t>
            </w:r>
            <w:proofErr w:type="spellEnd"/>
            <w:r w:rsidRPr="000A44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версія 3.0. та </w:t>
            </w:r>
            <w:proofErr w:type="spellStart"/>
            <w:r w:rsidRPr="000A44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Analyzer</w:t>
            </w:r>
            <w:proofErr w:type="spellEnd"/>
            <w:r w:rsidRPr="000A44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A44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Manager</w:t>
            </w:r>
            <w:proofErr w:type="spellEnd"/>
            <w:r w:rsidRPr="000A44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, а також налаштованої бази даних на сервері Замовника.</w:t>
            </w:r>
          </w:p>
          <w:p w:rsidR="000A446A" w:rsidRPr="00A90BC2" w:rsidRDefault="000A446A" w:rsidP="000A446A">
            <w:pPr>
              <w:ind w:right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A44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Закупівля інших послуг щодо програмного забезпечення, ПЗ ЛІС окрім наявної у замовника ЛІС «LIMS </w:t>
            </w:r>
            <w:proofErr w:type="spellStart"/>
            <w:r w:rsidRPr="000A44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TerraLab</w:t>
            </w:r>
            <w:proofErr w:type="spellEnd"/>
            <w:r w:rsidRPr="000A44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» та ПЗ </w:t>
            </w:r>
            <w:proofErr w:type="spellStart"/>
            <w:r w:rsidRPr="000A44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Analyzer</w:t>
            </w:r>
            <w:proofErr w:type="spellEnd"/>
            <w:r w:rsidRPr="000A44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A44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Manager</w:t>
            </w:r>
            <w:proofErr w:type="spellEnd"/>
            <w:r w:rsidRPr="000A44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, налаштування заново бази даних, не є можливою, оскільки в разі зміни ЛІС замовник буде вимушений придбати комп'ютерну програму та налаштовувати базу даних з іншими технічними характеристиками, що призведе до виникнення несумісності, пов’язаної з експлуатацією і технічним обслуговуванням, та не зможе забезпечити уніфікацію та стандартизацію або забезпечення сумісності з вже наявними послугами.</w:t>
            </w:r>
          </w:p>
        </w:tc>
      </w:tr>
      <w:tr w:rsidR="00C765B6" w:rsidRPr="00C765B6" w:rsidTr="00A90BC2">
        <w:trPr>
          <w:trHeight w:val="833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5B6" w:rsidRPr="00C765B6" w:rsidRDefault="00C765B6" w:rsidP="00C765B6">
            <w:pPr>
              <w:spacing w:line="310" w:lineRule="exact"/>
              <w:ind w:left="1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5B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lastRenderedPageBreak/>
              <w:t>5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5B6" w:rsidRPr="00604BCA" w:rsidRDefault="00C765B6" w:rsidP="00EB6E08">
            <w:pPr>
              <w:spacing w:line="276" w:lineRule="auto"/>
              <w:ind w:left="11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604BCA">
              <w:rPr>
                <w:rFonts w:ascii="Times New Roman" w:eastAsia="Times New Roman" w:hAnsi="Times New Roman"/>
                <w:b/>
                <w:w w:val="95"/>
                <w:sz w:val="24"/>
                <w:szCs w:val="24"/>
                <w:lang w:val="uk-UA"/>
              </w:rPr>
              <w:t>Обґрунтування</w:t>
            </w:r>
            <w:r w:rsidRPr="00604BCA">
              <w:rPr>
                <w:rFonts w:ascii="Times New Roman" w:eastAsia="Times New Roman" w:hAnsi="Times New Roman"/>
                <w:b/>
                <w:spacing w:val="1"/>
                <w:w w:val="95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розміру</w:t>
            </w:r>
            <w:r w:rsidRPr="00604BCA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призначення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F69" w:rsidRDefault="00A05F69" w:rsidP="00A05F69">
            <w:pPr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Джерело фінансування:</w:t>
            </w:r>
          </w:p>
          <w:p w:rsidR="00C765B6" w:rsidRPr="00604BCA" w:rsidRDefault="00A05F69" w:rsidP="00704D43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в</w:t>
            </w:r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ласний</w:t>
            </w:r>
            <w:proofErr w:type="spellEnd"/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бюджет (</w:t>
            </w:r>
            <w:proofErr w:type="spellStart"/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кошти</w:t>
            </w:r>
            <w:proofErr w:type="spellEnd"/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від</w:t>
            </w:r>
            <w:proofErr w:type="spellEnd"/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господарської</w:t>
            </w:r>
            <w:proofErr w:type="spellEnd"/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діяльності</w:t>
            </w:r>
            <w:proofErr w:type="spellEnd"/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proofErr w:type="gramStart"/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п</w:t>
            </w:r>
            <w:proofErr w:type="gramEnd"/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ідприємства</w:t>
            </w:r>
            <w:proofErr w:type="spellEnd"/>
            <w:r w:rsidRPr="00A05F69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- </w:t>
            </w:r>
            <w:r w:rsidR="00BA7EB1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1</w:t>
            </w:r>
            <w:r w:rsidR="00704D43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671</w:t>
            </w:r>
            <w:r w:rsidRPr="00A05F6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00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,00 грн.</w:t>
            </w:r>
          </w:p>
        </w:tc>
      </w:tr>
      <w:tr w:rsidR="00C765B6" w:rsidRPr="00C765B6" w:rsidTr="00A90BC2">
        <w:trPr>
          <w:trHeight w:val="877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5B6" w:rsidRPr="00A05F69" w:rsidRDefault="00C765B6" w:rsidP="00C765B6">
            <w:pPr>
              <w:spacing w:line="310" w:lineRule="exact"/>
              <w:ind w:left="11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05F69">
              <w:rPr>
                <w:rFonts w:ascii="Times New Roman" w:eastAsia="Times New Roman" w:hAnsi="Times New Roman"/>
                <w:w w:val="99"/>
                <w:sz w:val="24"/>
                <w:szCs w:val="24"/>
                <w:lang w:val="ru-RU"/>
              </w:rPr>
              <w:t>6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5B6" w:rsidRPr="00604BCA" w:rsidRDefault="00C765B6" w:rsidP="00C765B6">
            <w:pPr>
              <w:spacing w:line="320" w:lineRule="exact"/>
              <w:ind w:left="11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Очікувана</w:t>
            </w:r>
          </w:p>
          <w:p w:rsidR="00C765B6" w:rsidRPr="00604BCA" w:rsidRDefault="00C765B6" w:rsidP="00C765B6">
            <w:pPr>
              <w:spacing w:line="370" w:lineRule="atLeast"/>
              <w:ind w:left="11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вартість</w:t>
            </w:r>
            <w:r w:rsidRPr="00604BCA">
              <w:rPr>
                <w:rFonts w:ascii="Times New Roman" w:eastAsia="Times New Roman" w:hAnsi="Times New Roman"/>
                <w:b/>
                <w:spacing w:val="-18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предмета</w:t>
            </w:r>
            <w:r w:rsidRPr="00604BCA">
              <w:rPr>
                <w:rFonts w:ascii="Times New Roman" w:eastAsia="Times New Roman" w:hAnsi="Times New Roman"/>
                <w:b/>
                <w:spacing w:val="-67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закупівлі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A62" w:rsidRPr="00A87702" w:rsidRDefault="00A05F69" w:rsidP="00704D43">
            <w:pPr>
              <w:spacing w:line="276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uk-UA"/>
              </w:rPr>
            </w:pPr>
            <w:r w:rsidRPr="00A8770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 xml:space="preserve">Очікувана сума закупівлі: </w:t>
            </w:r>
            <w:r w:rsidR="00BA7EB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1</w:t>
            </w:r>
            <w:r w:rsidR="00704D4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671</w:t>
            </w:r>
            <w:r w:rsidR="00F62C68" w:rsidRPr="00A8770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00</w:t>
            </w:r>
            <w:r w:rsidRPr="00A8770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,00</w:t>
            </w:r>
            <w:r w:rsidR="00F62C68" w:rsidRPr="00A8770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 xml:space="preserve"> </w:t>
            </w:r>
            <w:r w:rsidRPr="00A8770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грн</w:t>
            </w:r>
            <w:r w:rsidR="00F62C68" w:rsidRPr="00A8770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>.</w:t>
            </w:r>
            <w:r w:rsidRPr="00A8770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/>
              </w:rPr>
              <w:t xml:space="preserve"> (з ПДВ)</w:t>
            </w:r>
          </w:p>
        </w:tc>
      </w:tr>
      <w:tr w:rsidR="00C765B6" w:rsidRPr="00C765B6" w:rsidTr="000D34C0">
        <w:trPr>
          <w:trHeight w:val="331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5B6" w:rsidRPr="00F62C68" w:rsidRDefault="00C765B6" w:rsidP="00C765B6">
            <w:pPr>
              <w:spacing w:line="310" w:lineRule="exact"/>
              <w:ind w:left="11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F62C68">
              <w:rPr>
                <w:rFonts w:ascii="Times New Roman" w:eastAsia="Times New Roman" w:hAnsi="Times New Roman"/>
                <w:w w:val="99"/>
                <w:sz w:val="24"/>
                <w:szCs w:val="24"/>
                <w:lang w:val="uk-UA"/>
              </w:rPr>
              <w:t>7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5B6" w:rsidRPr="00604BCA" w:rsidRDefault="00C765B6" w:rsidP="00C765B6">
            <w:pPr>
              <w:spacing w:line="276" w:lineRule="auto"/>
              <w:ind w:left="11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604BCA">
              <w:rPr>
                <w:rFonts w:ascii="Times New Roman" w:eastAsia="Times New Roman" w:hAnsi="Times New Roman"/>
                <w:b/>
                <w:w w:val="95"/>
                <w:sz w:val="24"/>
                <w:szCs w:val="24"/>
                <w:lang w:val="uk-UA"/>
              </w:rPr>
              <w:t>Обґрунтування</w:t>
            </w:r>
            <w:r w:rsidRPr="00604BCA">
              <w:rPr>
                <w:rFonts w:ascii="Times New Roman" w:eastAsia="Times New Roman" w:hAnsi="Times New Roman"/>
                <w:b/>
                <w:spacing w:val="1"/>
                <w:w w:val="95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очікуваної</w:t>
            </w:r>
          </w:p>
          <w:p w:rsidR="00C765B6" w:rsidRPr="00604BCA" w:rsidRDefault="00C765B6" w:rsidP="00C765B6">
            <w:pPr>
              <w:spacing w:line="268" w:lineRule="auto"/>
              <w:ind w:left="110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вартості</w:t>
            </w:r>
            <w:r w:rsidRPr="00604BCA">
              <w:rPr>
                <w:rFonts w:ascii="Times New Roman" w:eastAsia="Times New Roman" w:hAnsi="Times New Roman"/>
                <w:b/>
                <w:spacing w:val="-18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предмета</w:t>
            </w:r>
            <w:r w:rsidRPr="00604BCA">
              <w:rPr>
                <w:rFonts w:ascii="Times New Roman" w:eastAsia="Times New Roman" w:hAnsi="Times New Roman"/>
                <w:b/>
                <w:spacing w:val="-67"/>
                <w:sz w:val="24"/>
                <w:szCs w:val="24"/>
                <w:lang w:val="uk-UA"/>
              </w:rPr>
              <w:t xml:space="preserve"> </w:t>
            </w:r>
            <w:r w:rsidRPr="00604BCA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закупівлі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AA7" w:rsidRDefault="005F1AA7" w:rsidP="00E9444F">
            <w:pPr>
              <w:tabs>
                <w:tab w:val="left" w:pos="274"/>
              </w:tabs>
              <w:spacing w:before="53" w:line="276" w:lineRule="auto"/>
              <w:ind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F1AA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Обсяг закупівлі встановлено відповідно до запланованої потреби </w:t>
            </w:r>
            <w:r w:rsidR="00A90BC2" w:rsidRPr="00A90BC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клініко-діагностичної лабораторії</w:t>
            </w:r>
            <w:r w:rsidR="00A90BC2" w:rsidRPr="009E743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="00C12C3F" w:rsidRPr="009E743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КНП </w:t>
            </w:r>
            <w:r w:rsidR="00C12C3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«</w:t>
            </w:r>
            <w:proofErr w:type="spellStart"/>
            <w:r w:rsidR="00C12C3F" w:rsidRPr="009E743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КДЦ</w:t>
            </w:r>
            <w:proofErr w:type="spellEnd"/>
            <w:r w:rsidR="00C12C3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» </w:t>
            </w:r>
            <w:proofErr w:type="spellStart"/>
            <w:r w:rsidR="00C12C3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Оболонського</w:t>
            </w:r>
            <w:proofErr w:type="spellEnd"/>
            <w:r w:rsidR="00C12C3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району м. Києва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="000D34C0" w:rsidRPr="005F1AA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з урахуванням </w:t>
            </w:r>
            <w:r w:rsidR="000D34C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суми </w:t>
            </w:r>
            <w:r w:rsidR="000D34C0" w:rsidRPr="005F1AA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виділених коштів</w:t>
            </w:r>
            <w:r w:rsidR="000D34C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  <w:p w:rsidR="000A446A" w:rsidRPr="000A446A" w:rsidRDefault="000A446A" w:rsidP="000A446A">
            <w:pPr>
              <w:tabs>
                <w:tab w:val="left" w:pos="274"/>
              </w:tabs>
              <w:spacing w:before="53" w:line="276" w:lineRule="auto"/>
              <w:ind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A44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Предмет закупівлі включає всі компоненти (складові), необхідні для налаштування та впровадження лабораторної інформаційної системи з затребуваними кількісними характеристиками (2 ліцензії), а саме:</w:t>
            </w:r>
          </w:p>
          <w:p w:rsidR="000A446A" w:rsidRPr="000A446A" w:rsidRDefault="000A446A" w:rsidP="000A446A">
            <w:pPr>
              <w:tabs>
                <w:tab w:val="left" w:pos="274"/>
              </w:tabs>
              <w:spacing w:before="53" w:line="276" w:lineRule="auto"/>
              <w:ind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A44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</w:t>
            </w:r>
            <w:r w:rsidRPr="000A44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ab/>
              <w:t xml:space="preserve">надання права на використання програмного забезпечення </w:t>
            </w:r>
            <w:proofErr w:type="spellStart"/>
            <w:r w:rsidRPr="000A44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КП</w:t>
            </w:r>
            <w:proofErr w:type="spellEnd"/>
            <w:r w:rsidRPr="000A44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A44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TerraLab</w:t>
            </w:r>
            <w:proofErr w:type="spellEnd"/>
            <w:r w:rsidRPr="000A44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для однієї бази даних (Сервер) на період з 01.01.2024р. до 31.12.2024р.; </w:t>
            </w:r>
          </w:p>
          <w:p w:rsidR="000A446A" w:rsidRPr="000A446A" w:rsidRDefault="000A446A" w:rsidP="000A446A">
            <w:pPr>
              <w:tabs>
                <w:tab w:val="left" w:pos="274"/>
              </w:tabs>
              <w:spacing w:before="53" w:line="276" w:lineRule="auto"/>
              <w:ind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A44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</w:t>
            </w:r>
            <w:r w:rsidRPr="000A44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ab/>
              <w:t xml:space="preserve">надання права на використання програмного забезпечення </w:t>
            </w:r>
            <w:proofErr w:type="spellStart"/>
            <w:r w:rsidRPr="000A44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КП</w:t>
            </w:r>
            <w:proofErr w:type="spellEnd"/>
            <w:r w:rsidRPr="000A44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A44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TerraLab</w:t>
            </w:r>
            <w:proofErr w:type="spellEnd"/>
            <w:r w:rsidRPr="000A44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на 15 одночасних підключень до бази даних (Робочі місця) на період з 01.01.2024р. до 31.12.2024р.;</w:t>
            </w:r>
          </w:p>
          <w:p w:rsidR="000A446A" w:rsidRPr="000A446A" w:rsidRDefault="000A446A" w:rsidP="000A446A">
            <w:pPr>
              <w:tabs>
                <w:tab w:val="left" w:pos="274"/>
              </w:tabs>
              <w:spacing w:before="53" w:line="276" w:lineRule="auto"/>
              <w:ind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A44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</w:t>
            </w:r>
            <w:r w:rsidRPr="000A44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ab/>
              <w:t xml:space="preserve">надання права на використання програмного забезпечення </w:t>
            </w:r>
            <w:proofErr w:type="spellStart"/>
            <w:r w:rsidRPr="000A44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КП</w:t>
            </w:r>
            <w:proofErr w:type="spellEnd"/>
            <w:r w:rsidRPr="000A44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A44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Analyzer</w:t>
            </w:r>
            <w:proofErr w:type="spellEnd"/>
            <w:r w:rsidRPr="000A44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A44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Manager</w:t>
            </w:r>
            <w:proofErr w:type="spellEnd"/>
            <w:r w:rsidRPr="000A44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для підключення 8 приладів на період з 01.01.2024р. до 31.12.2024р.;</w:t>
            </w:r>
          </w:p>
          <w:p w:rsidR="000A446A" w:rsidRDefault="000A446A" w:rsidP="000A446A">
            <w:pPr>
              <w:tabs>
                <w:tab w:val="left" w:pos="274"/>
              </w:tabs>
              <w:spacing w:before="53" w:line="276" w:lineRule="auto"/>
              <w:ind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A44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</w:t>
            </w:r>
            <w:r w:rsidRPr="000A446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ab/>
              <w:t>надання консультаційних послуг щодо зазначеного програмного забезпечення (послуг з обслуговування (консультаційної підтримки) програмного забезпечення) на період з 01.01.2024р. до 31.12.2024р.</w:t>
            </w:r>
          </w:p>
          <w:p w:rsidR="005F1AA7" w:rsidRPr="00C12C3F" w:rsidRDefault="005F1AA7" w:rsidP="00704D43">
            <w:pPr>
              <w:tabs>
                <w:tab w:val="left" w:pos="274"/>
              </w:tabs>
              <w:spacing w:before="53" w:line="276" w:lineRule="auto"/>
              <w:ind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F1AA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Очікувана вартість предмета закупівлі визначалась </w:t>
            </w:r>
            <w:r w:rsidR="00704D4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</w:t>
            </w:r>
            <w:r w:rsidR="00704D43" w:rsidRPr="00704D43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урахуванням ринкових цін на надання послуг з постачання програмного забезпечення лабораторної інформаційної системи для клініко-діагностичної лабораторії та консультаційних послуг по функціонуванню програмного забезпечення з аналогічними кількісними та технічними вимогами.</w:t>
            </w:r>
          </w:p>
        </w:tc>
      </w:tr>
    </w:tbl>
    <w:p w:rsidR="00024711" w:rsidRDefault="00024711" w:rsidP="00C765B6"/>
    <w:sectPr w:rsidR="00024711" w:rsidSect="00C765B6">
      <w:pgSz w:w="11906" w:h="16838"/>
      <w:pgMar w:top="426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531DD"/>
    <w:multiLevelType w:val="hybridMultilevel"/>
    <w:tmpl w:val="2EE8C51C"/>
    <w:lvl w:ilvl="0" w:tplc="24064B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E620A7"/>
    <w:multiLevelType w:val="hybridMultilevel"/>
    <w:tmpl w:val="F340616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1C5316"/>
    <w:multiLevelType w:val="hybridMultilevel"/>
    <w:tmpl w:val="AF9223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722C"/>
    <w:rsid w:val="00024711"/>
    <w:rsid w:val="0004105A"/>
    <w:rsid w:val="00050233"/>
    <w:rsid w:val="00050783"/>
    <w:rsid w:val="000A446A"/>
    <w:rsid w:val="000D34C0"/>
    <w:rsid w:val="000D351A"/>
    <w:rsid w:val="0011578B"/>
    <w:rsid w:val="00182F30"/>
    <w:rsid w:val="00250669"/>
    <w:rsid w:val="002C2675"/>
    <w:rsid w:val="00346310"/>
    <w:rsid w:val="00382605"/>
    <w:rsid w:val="003A0965"/>
    <w:rsid w:val="003C6F96"/>
    <w:rsid w:val="003E1A3C"/>
    <w:rsid w:val="00430AFD"/>
    <w:rsid w:val="00452CC5"/>
    <w:rsid w:val="004768C6"/>
    <w:rsid w:val="004B2B3F"/>
    <w:rsid w:val="004F247E"/>
    <w:rsid w:val="005F148C"/>
    <w:rsid w:val="005F1AA7"/>
    <w:rsid w:val="00604BCA"/>
    <w:rsid w:val="0063722C"/>
    <w:rsid w:val="0069198A"/>
    <w:rsid w:val="00704D43"/>
    <w:rsid w:val="007336DE"/>
    <w:rsid w:val="008A65AA"/>
    <w:rsid w:val="0090646B"/>
    <w:rsid w:val="00907BB4"/>
    <w:rsid w:val="009153F2"/>
    <w:rsid w:val="009C4F27"/>
    <w:rsid w:val="009E7433"/>
    <w:rsid w:val="00A03568"/>
    <w:rsid w:val="00A05F69"/>
    <w:rsid w:val="00A87702"/>
    <w:rsid w:val="00A90BC2"/>
    <w:rsid w:val="00AC0F05"/>
    <w:rsid w:val="00AD6ADD"/>
    <w:rsid w:val="00B15996"/>
    <w:rsid w:val="00B43A65"/>
    <w:rsid w:val="00BA7EB1"/>
    <w:rsid w:val="00C12C3F"/>
    <w:rsid w:val="00C765B6"/>
    <w:rsid w:val="00D54D4F"/>
    <w:rsid w:val="00E00A62"/>
    <w:rsid w:val="00E06ACA"/>
    <w:rsid w:val="00E33DF9"/>
    <w:rsid w:val="00E64EEF"/>
    <w:rsid w:val="00E93D40"/>
    <w:rsid w:val="00E9444F"/>
    <w:rsid w:val="00EB6E08"/>
    <w:rsid w:val="00F50447"/>
    <w:rsid w:val="00F62C68"/>
    <w:rsid w:val="00F95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C765B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04105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3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3657</Words>
  <Characters>2085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rubt</dc:creator>
  <cp:keywords/>
  <dc:description/>
  <cp:lastModifiedBy>User</cp:lastModifiedBy>
  <cp:revision>36</cp:revision>
  <dcterms:created xsi:type="dcterms:W3CDTF">2022-11-29T15:34:00Z</dcterms:created>
  <dcterms:modified xsi:type="dcterms:W3CDTF">2024-01-24T10:14:00Z</dcterms:modified>
</cp:coreProperties>
</file>